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numPr>
          <w:ilvl w:val="0"/>
          <w:numId w:val="0"/>
        </w:numPr>
        <w:ind w:firstLine="709" w:left="0"/>
        <w:jc w:val="right"/>
        <w:rPr>
          <w:sz w:val="32"/>
        </w:rPr>
      </w:pPr>
      <w:r>
        <w:rPr>
          <w:sz w:val="32"/>
        </w:rPr>
        <w:t xml:space="preserve">                      </w:t>
      </w:r>
      <w:r>
        <w:t xml:space="preserve">                                               </w:t>
      </w:r>
      <w:r>
        <w:tab/>
      </w:r>
    </w:p>
    <w:p w14:paraId="02000000">
      <w:pPr>
        <w:ind w:firstLine="709" w:left="0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СОВЕТ МУНИЦИПАЛЬНОГО ОБРАЗОВАНИЯ</w:t>
      </w:r>
    </w:p>
    <w:p w14:paraId="03000000">
      <w:pPr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«</w:t>
      </w:r>
      <w:r>
        <w:rPr>
          <w:rFonts w:ascii="Times New Roman" w:hAnsi="Times New Roman"/>
          <w:sz w:val="32"/>
        </w:rPr>
        <w:t xml:space="preserve">Сельское поселение  </w:t>
      </w:r>
      <w:r>
        <w:rPr>
          <w:rFonts w:ascii="Times New Roman" w:hAnsi="Times New Roman"/>
          <w:sz w:val="32"/>
        </w:rPr>
        <w:t>Капустиноярский</w:t>
      </w:r>
      <w:r>
        <w:rPr>
          <w:rFonts w:ascii="Times New Roman" w:hAnsi="Times New Roman"/>
          <w:sz w:val="32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b w:val="1"/>
          <w:sz w:val="28"/>
        </w:rPr>
        <w:t>»</w:t>
      </w:r>
    </w:p>
    <w:p w14:paraId="04000000">
      <w:pPr>
        <w:tabs>
          <w:tab w:leader="none" w:pos="8580" w:val="left"/>
        </w:tabs>
        <w:ind w:firstLine="709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</w:r>
    </w:p>
    <w:p w14:paraId="05000000">
      <w:pPr>
        <w:tabs>
          <w:tab w:leader="none" w:pos="4720" w:val="left"/>
          <w:tab w:leader="none" w:pos="8660" w:val="left"/>
        </w:tabs>
        <w:ind w:firstLine="709" w:lef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ab/>
      </w:r>
    </w:p>
    <w:p w14:paraId="06000000">
      <w:pPr>
        <w:ind w:firstLine="709" w:lef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 w:val="1"/>
          <w:sz w:val="28"/>
        </w:rPr>
        <w:t>Р</w:t>
      </w:r>
      <w:r>
        <w:rPr>
          <w:rFonts w:ascii="Times New Roman" w:hAnsi="Times New Roman"/>
          <w:b w:val="1"/>
          <w:sz w:val="28"/>
        </w:rPr>
        <w:t xml:space="preserve"> Е Ш Е Н И Е</w:t>
      </w:r>
    </w:p>
    <w:p w14:paraId="07000000">
      <w:pPr>
        <w:ind w:firstLine="709" w:left="0"/>
        <w:rPr>
          <w:rFonts w:ascii="Times New Roman" w:hAnsi="Times New Roman"/>
          <w:sz w:val="28"/>
        </w:rPr>
      </w:pPr>
    </w:p>
    <w:p w14:paraId="08000000">
      <w:pPr>
        <w:ind w:firstLine="709" w:left="0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 06.12.2023                                                                 № 17</w:t>
      </w:r>
    </w:p>
    <w:p w14:paraId="09000000">
      <w:pPr>
        <w:tabs>
          <w:tab w:leader="none" w:pos="2992" w:val="left"/>
        </w:tabs>
        <w:ind w:firstLine="709" w:left="0"/>
        <w:rPr>
          <w:rFonts w:ascii="Times New Roman" w:hAnsi="Times New Roman"/>
          <w:b w:val="1"/>
          <w:sz w:val="28"/>
        </w:rPr>
      </w:pPr>
    </w:p>
    <w:p w14:paraId="0A000000">
      <w:pPr>
        <w:tabs>
          <w:tab w:leader="none" w:pos="5103" w:val="left"/>
        </w:tabs>
        <w:ind w:right="458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бюджете</w:t>
      </w:r>
      <w:r>
        <w:rPr>
          <w:rFonts w:ascii="Times New Roman" w:hAnsi="Times New Roman"/>
          <w:sz w:val="28"/>
        </w:rPr>
        <w:t xml:space="preserve"> муниципального образования «Сел</w:t>
      </w:r>
      <w:r>
        <w:rPr>
          <w:rFonts w:ascii="Times New Roman" w:hAnsi="Times New Roman"/>
          <w:sz w:val="28"/>
        </w:rPr>
        <w:t xml:space="preserve">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Ахтубинского муниципального  района Астраханской области» на 2024 год и на плановый период 2025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2026 годов</w:t>
      </w:r>
    </w:p>
    <w:p w14:paraId="0B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0C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Руководствуясь Федеральным законом от 06.10.2003 № 131-ФЗ «Об общих принципах организации местного самоуправления в РФ», Бюджетным кодексом РФ, приказом Минфина России от 24.05.2022 № 82н «О Порядке формирования и применения кодов бюджетной классификации Российской Федерации, их структуре и принципах назначения», приказом Минфина России от 01.06.2023 №80н «Об утверждении кодов (перечней кодов) бюджетной классификации Российской Федерации на 2024 год (на 2024 год и</w:t>
      </w:r>
      <w:r>
        <w:rPr>
          <w:rFonts w:ascii="Times New Roman" w:hAnsi="Times New Roman"/>
          <w:sz w:val="28"/>
        </w:rPr>
        <w:t xml:space="preserve"> на плановый период 2025 и 2026 годов),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Устав</w:t>
      </w:r>
      <w:r>
        <w:rPr>
          <w:rFonts w:ascii="Times New Roman" w:hAnsi="Times New Roman"/>
          <w:sz w:val="28"/>
        </w:rPr>
        <w:t>ом</w:t>
      </w:r>
      <w:r>
        <w:rPr>
          <w:rFonts w:ascii="Times New Roman" w:hAnsi="Times New Roman"/>
          <w:sz w:val="28"/>
        </w:rPr>
        <w:t xml:space="preserve">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</w:t>
      </w:r>
    </w:p>
    <w:p w14:paraId="0D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0E000000">
      <w:pPr>
        <w:pStyle w:val="Style_2"/>
        <w:ind w:firstLine="709"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Совет муниципального образования «Сел</w:t>
      </w:r>
      <w:r>
        <w:rPr>
          <w:rFonts w:ascii="Times New Roman" w:hAnsi="Times New Roman"/>
        </w:rPr>
        <w:t xml:space="preserve">ьское поселение </w:t>
      </w:r>
      <w:r>
        <w:rPr>
          <w:rFonts w:ascii="Times New Roman" w:hAnsi="Times New Roman"/>
        </w:rPr>
        <w:t>Капустиноярский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сельсовет Ахтубинского муниципального района Астраханской области»</w:t>
      </w:r>
    </w:p>
    <w:p w14:paraId="0F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РЕШИЛ:</w:t>
      </w:r>
    </w:p>
    <w:p w14:paraId="10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Утвердить  основные характеристики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на 2024год:</w:t>
      </w:r>
    </w:p>
    <w:p w14:paraId="11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общий объем доходов в сумме 11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269,59958 тыс. руб., в том числе за счет межбюджетных трансфертов, получаемых из других бюджетов </w:t>
      </w:r>
      <w:r>
        <w:rPr>
          <w:rFonts w:ascii="Times New Roman" w:hAnsi="Times New Roman"/>
          <w:sz w:val="28"/>
        </w:rPr>
        <w:t xml:space="preserve">бюджетной системы РФ </w:t>
      </w:r>
      <w:r>
        <w:rPr>
          <w:rFonts w:ascii="Times New Roman" w:hAnsi="Times New Roman"/>
          <w:sz w:val="28"/>
        </w:rPr>
        <w:t>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8483,048тыс. руб.;</w:t>
      </w:r>
    </w:p>
    <w:p w14:paraId="1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общий объем расходов в сумме 11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269,59958ыс. руб.;</w:t>
      </w:r>
    </w:p>
    <w:p w14:paraId="13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3) дефицит (профицит)  бюджета в сумме 0,00 тыс. руб. </w:t>
      </w:r>
    </w:p>
    <w:p w14:paraId="14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твердить основные характеристики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на плановый период 2025</w:t>
      </w:r>
      <w:r>
        <w:rPr>
          <w:rFonts w:ascii="Times New Roman" w:hAnsi="Times New Roman"/>
          <w:sz w:val="28"/>
        </w:rPr>
        <w:t xml:space="preserve"> и </w:t>
      </w:r>
      <w:r>
        <w:rPr>
          <w:rFonts w:ascii="Times New Roman" w:hAnsi="Times New Roman"/>
          <w:sz w:val="28"/>
        </w:rPr>
        <w:t>2026годов:</w:t>
      </w:r>
    </w:p>
    <w:p w14:paraId="15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общий объем доходов на 2025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в сумме 9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258,29958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тыс. руб., в том числе за счет </w:t>
      </w:r>
      <w:r>
        <w:rPr>
          <w:rFonts w:ascii="Times New Roman" w:hAnsi="Times New Roman"/>
          <w:sz w:val="28"/>
        </w:rPr>
        <w:t>межбюджетных трансфертов</w:t>
      </w:r>
      <w:r>
        <w:rPr>
          <w:rFonts w:ascii="Times New Roman" w:hAnsi="Times New Roman"/>
          <w:sz w:val="28"/>
        </w:rPr>
        <w:t xml:space="preserve">, получаемых из других бюджетов </w:t>
      </w:r>
      <w:r>
        <w:rPr>
          <w:rFonts w:ascii="Times New Roman" w:hAnsi="Times New Roman"/>
          <w:sz w:val="28"/>
        </w:rPr>
        <w:t xml:space="preserve">бюджетной </w:t>
      </w:r>
      <w:r>
        <w:rPr>
          <w:rFonts w:ascii="Times New Roman" w:hAnsi="Times New Roman"/>
          <w:sz w:val="28"/>
        </w:rPr>
        <w:t xml:space="preserve">системы РФ </w:t>
      </w:r>
      <w:r>
        <w:rPr>
          <w:rFonts w:ascii="Times New Roman" w:hAnsi="Times New Roman"/>
          <w:sz w:val="28"/>
        </w:rPr>
        <w:t>в сумме 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459,04800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руб.;</w:t>
      </w:r>
    </w:p>
    <w:p w14:paraId="16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общий объем расходов на 2025 год в сумме 9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258,29958 тыс. руб.,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 том числе условно утверждаемые расходы в сумме 22</w:t>
      </w:r>
      <w:r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98999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.;</w:t>
      </w:r>
    </w:p>
    <w:p w14:paraId="17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дефицит (профицит)</w:t>
      </w:r>
      <w:r>
        <w:rPr>
          <w:rFonts w:ascii="Times New Roman" w:hAnsi="Times New Roman"/>
          <w:sz w:val="28"/>
        </w:rPr>
        <w:t xml:space="preserve"> в сумме 0,00 тыс. руб</w:t>
      </w:r>
      <w:r>
        <w:rPr>
          <w:rFonts w:ascii="Times New Roman" w:hAnsi="Times New Roman"/>
          <w:sz w:val="28"/>
        </w:rPr>
        <w:t>.;</w:t>
      </w:r>
    </w:p>
    <w:p w14:paraId="18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общий объем доходов на 2026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в сумме 7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063,19958 тыс. руб., в том числе за счет межбюджетных трансфертов, получаемых из других бюджетов </w:t>
      </w:r>
      <w:r>
        <w:rPr>
          <w:rFonts w:ascii="Times New Roman" w:hAnsi="Times New Roman"/>
          <w:sz w:val="28"/>
        </w:rPr>
        <w:t xml:space="preserve">бюджетной системы РФ  </w:t>
      </w:r>
      <w:r>
        <w:rPr>
          <w:rFonts w:ascii="Times New Roman" w:hAnsi="Times New Roman"/>
          <w:sz w:val="28"/>
        </w:rPr>
        <w:t>в сумме 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252,14800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тыс. руб.;</w:t>
      </w:r>
    </w:p>
    <w:p w14:paraId="19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общий объем расходов на 2026 год в сумме 7063,19958 тыс. руб.; в том числе условно ут</w:t>
      </w:r>
      <w:r>
        <w:rPr>
          <w:rFonts w:ascii="Times New Roman" w:hAnsi="Times New Roman"/>
          <w:sz w:val="28"/>
        </w:rPr>
        <w:t>верждаемые расходы в сумме 336,22499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.;</w:t>
      </w:r>
    </w:p>
    <w:p w14:paraId="1A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дефицит (профицит) </w:t>
      </w:r>
      <w:r>
        <w:rPr>
          <w:rFonts w:ascii="Times New Roman" w:hAnsi="Times New Roman"/>
          <w:sz w:val="28"/>
        </w:rPr>
        <w:t>в сумме 0,00 тыс. руб</w:t>
      </w:r>
      <w:r>
        <w:rPr>
          <w:rFonts w:ascii="Times New Roman" w:hAnsi="Times New Roman"/>
          <w:sz w:val="28"/>
        </w:rPr>
        <w:t>.</w:t>
      </w:r>
    </w:p>
    <w:p w14:paraId="1B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Учесть в бюджете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объем доходов по основным источникам:</w:t>
      </w:r>
    </w:p>
    <w:p w14:paraId="1C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год </w:t>
      </w:r>
      <w:r>
        <w:rPr>
          <w:rFonts w:ascii="Times New Roman" w:hAnsi="Times New Roman"/>
          <w:sz w:val="28"/>
        </w:rPr>
        <w:t>согласно приложения</w:t>
      </w:r>
      <w:r>
        <w:rPr>
          <w:rFonts w:ascii="Times New Roman" w:hAnsi="Times New Roman"/>
          <w:sz w:val="28"/>
        </w:rPr>
        <w:t xml:space="preserve"> №1 к настоящему решению;</w:t>
      </w:r>
    </w:p>
    <w:p w14:paraId="1D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2025</w:t>
      </w: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>2026 год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согласно приложению №1.1 к настоящему решению.</w:t>
      </w:r>
    </w:p>
    <w:p w14:paraId="1E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Утвердить источники внутреннего финансирования дефицита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</w:t>
      </w:r>
      <w:r>
        <w:rPr>
          <w:rFonts w:ascii="Times New Roman" w:hAnsi="Times New Roman"/>
          <w:sz w:val="28"/>
        </w:rPr>
        <w:t>области»</w:t>
      </w:r>
      <w:r>
        <w:rPr>
          <w:rFonts w:ascii="Times New Roman" w:hAnsi="Times New Roman"/>
          <w:sz w:val="28"/>
        </w:rPr>
        <w:t>:</w:t>
      </w:r>
    </w:p>
    <w:p w14:paraId="1F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на 2024 год согласно приложению №2 к настоящему решению;</w:t>
      </w:r>
    </w:p>
    <w:p w14:paraId="20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на 2025-2026 годы согласно приложению №2.1 к настоящему решению.</w:t>
      </w:r>
    </w:p>
    <w:p w14:paraId="21000000">
      <w:pPr>
        <w:spacing w:before="240"/>
        <w:ind w:firstLine="709" w:left="0"/>
        <w:jc w:val="both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color w:val="FF0000"/>
          <w:sz w:val="28"/>
        </w:rPr>
        <w:t xml:space="preserve">         </w:t>
      </w:r>
      <w:r>
        <w:rPr>
          <w:rFonts w:ascii="Times New Roman" w:hAnsi="Times New Roman"/>
          <w:sz w:val="28"/>
        </w:rPr>
        <w:t>4. Утвердить распределение бюджетных ассигнований:</w:t>
      </w:r>
    </w:p>
    <w:p w14:paraId="2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по разделам, подразделам, целевым статьям (муниципальным программам и непрограммным направлениям деятельности),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группам </w:t>
      </w:r>
      <w:r>
        <w:rPr>
          <w:rFonts w:ascii="Times New Roman" w:hAnsi="Times New Roman"/>
          <w:sz w:val="28"/>
        </w:rPr>
        <w:t xml:space="preserve">видов </w:t>
      </w:r>
      <w:r>
        <w:rPr>
          <w:rFonts w:ascii="Times New Roman" w:hAnsi="Times New Roman"/>
          <w:sz w:val="28"/>
        </w:rPr>
        <w:t>расходов классификации расходов бюджета муниципального</w:t>
      </w:r>
      <w:r>
        <w:rPr>
          <w:rFonts w:ascii="Times New Roman" w:hAnsi="Times New Roman"/>
          <w:sz w:val="28"/>
        </w:rPr>
        <w:t xml:space="preserve">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</w:t>
      </w:r>
      <w:r>
        <w:rPr>
          <w:rFonts w:ascii="Times New Roman" w:hAnsi="Times New Roman"/>
          <w:sz w:val="28"/>
        </w:rPr>
        <w:t>области»</w:t>
      </w:r>
      <w:r>
        <w:rPr>
          <w:rFonts w:ascii="Times New Roman" w:hAnsi="Times New Roman"/>
          <w:sz w:val="28"/>
        </w:rPr>
        <w:t>:</w:t>
      </w:r>
    </w:p>
    <w:p w14:paraId="23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3 к настоящему решению;</w:t>
      </w:r>
    </w:p>
    <w:p w14:paraId="24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на 2025-2026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годы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№3.1 к настоящему решению.</w:t>
      </w:r>
    </w:p>
    <w:p w14:paraId="25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по целевым статьям (муниципальным программам и непрограммным направлениям деятельности),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группам видов расходов, разделам, подразделам классификации расходов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</w:t>
      </w:r>
      <w:r>
        <w:rPr>
          <w:rFonts w:ascii="Times New Roman" w:hAnsi="Times New Roman"/>
          <w:sz w:val="28"/>
        </w:rPr>
        <w:t>:</w:t>
      </w:r>
    </w:p>
    <w:p w14:paraId="26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 к настоящему решению;</w:t>
      </w:r>
    </w:p>
    <w:p w14:paraId="27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на 2025-2026годы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4.1 к настоящему решению.</w:t>
      </w:r>
    </w:p>
    <w:p w14:paraId="28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по ведомственной структуре расходов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</w:t>
      </w:r>
      <w:r>
        <w:rPr>
          <w:rFonts w:ascii="Times New Roman" w:hAnsi="Times New Roman"/>
          <w:sz w:val="28"/>
        </w:rPr>
        <w:t>го района Астраханской области»</w:t>
      </w:r>
      <w:r>
        <w:rPr>
          <w:rFonts w:ascii="Times New Roman" w:hAnsi="Times New Roman"/>
          <w:sz w:val="28"/>
        </w:rPr>
        <w:t>:</w:t>
      </w:r>
    </w:p>
    <w:p w14:paraId="29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 на 2024год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5 к настоящему решению;</w:t>
      </w:r>
    </w:p>
    <w:p w14:paraId="2A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на 2025-2026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годы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№5.1 к настоящему решению.</w:t>
      </w:r>
    </w:p>
    <w:p w14:paraId="2B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5. Утвердить распределение бюджетных ассигнований по муниципальным программам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</w:t>
      </w:r>
      <w:r>
        <w:rPr>
          <w:rFonts w:ascii="Times New Roman" w:hAnsi="Times New Roman"/>
          <w:sz w:val="28"/>
        </w:rPr>
        <w:t>го района Астраханской области»:</w:t>
      </w:r>
    </w:p>
    <w:p w14:paraId="2C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6 к настоящему решению;</w:t>
      </w:r>
    </w:p>
    <w:p w14:paraId="2D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на 2025-2026годы согласно приложени</w:t>
      </w:r>
      <w:r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 xml:space="preserve"> №6.1 к настоящему решению.</w:t>
      </w:r>
    </w:p>
    <w:p w14:paraId="2E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Утвердить программу муниципальных внутренних заимствований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области»:</w:t>
      </w:r>
    </w:p>
    <w:p w14:paraId="2F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согласно приложению №7 к настоящему решению</w:t>
      </w:r>
    </w:p>
    <w:p w14:paraId="30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2025-2026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</w:t>
      </w:r>
      <w:r>
        <w:rPr>
          <w:rFonts w:ascii="Times New Roman" w:hAnsi="Times New Roman"/>
          <w:sz w:val="28"/>
        </w:rPr>
        <w:t>ы</w:t>
      </w:r>
      <w:r>
        <w:rPr>
          <w:rFonts w:ascii="Times New Roman" w:hAnsi="Times New Roman"/>
          <w:sz w:val="28"/>
        </w:rPr>
        <w:t xml:space="preserve"> согласно приложению №7.1 к настоящему решению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31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Утвердить  </w:t>
      </w:r>
      <w:r>
        <w:rPr>
          <w:rFonts w:ascii="Times New Roman" w:hAnsi="Times New Roman"/>
          <w:sz w:val="28"/>
        </w:rPr>
        <w:t>межбюджетные трансферты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 xml:space="preserve">», </w:t>
      </w:r>
      <w:r>
        <w:rPr>
          <w:rFonts w:ascii="Times New Roman" w:hAnsi="Times New Roman"/>
          <w:sz w:val="28"/>
        </w:rPr>
        <w:t xml:space="preserve">предоставляемые бюджету </w:t>
      </w:r>
      <w:r>
        <w:rPr>
          <w:rFonts w:ascii="Times New Roman" w:hAnsi="Times New Roman"/>
          <w:sz w:val="28"/>
        </w:rPr>
        <w:t>муниципального образования</w:t>
      </w:r>
      <w:r>
        <w:rPr>
          <w:rFonts w:ascii="Times New Roman" w:hAnsi="Times New Roman"/>
          <w:sz w:val="28"/>
        </w:rPr>
        <w:t xml:space="preserve"> «Ахтубинский муниципальный район Астраханской области», на осуществление части полномочий по решению вопросов местного значения в соответствии с заключенным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соглашени</w:t>
      </w:r>
      <w:r>
        <w:rPr>
          <w:rFonts w:ascii="Times New Roman" w:hAnsi="Times New Roman"/>
          <w:sz w:val="28"/>
        </w:rPr>
        <w:t>я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: </w:t>
      </w:r>
    </w:p>
    <w:p w14:paraId="3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2024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в сумме 1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873,24131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 согласно приложению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 к настоящему решению</w:t>
      </w:r>
      <w:r>
        <w:rPr>
          <w:rFonts w:ascii="Times New Roman" w:hAnsi="Times New Roman"/>
          <w:sz w:val="28"/>
        </w:rPr>
        <w:t>.</w:t>
      </w:r>
    </w:p>
    <w:p w14:paraId="33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 2025-2026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год в сумме 0,00000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 согласно приложению 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8.1 к настоящему решению</w:t>
      </w:r>
      <w:r>
        <w:rPr>
          <w:rFonts w:ascii="Times New Roman" w:hAnsi="Times New Roman"/>
          <w:sz w:val="28"/>
        </w:rPr>
        <w:t>.</w:t>
      </w:r>
    </w:p>
    <w:p w14:paraId="34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</w:p>
    <w:p w14:paraId="35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Утвердить программу предоставления муниципальных гарантий</w:t>
      </w:r>
      <w:r>
        <w:t xml:space="preserve"> </w:t>
      </w:r>
      <w:r>
        <w:rPr>
          <w:rFonts w:ascii="Times New Roman" w:hAnsi="Times New Roman"/>
          <w:sz w:val="28"/>
        </w:rPr>
        <w:t xml:space="preserve">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</w:t>
      </w:r>
      <w:r>
        <w:rPr>
          <w:rFonts w:ascii="Times New Roman" w:hAnsi="Times New Roman"/>
          <w:sz w:val="28"/>
        </w:rPr>
        <w:t>:</w:t>
      </w:r>
    </w:p>
    <w:p w14:paraId="36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2024 год согласно приложению №</w:t>
      </w:r>
      <w:r>
        <w:rPr>
          <w:rFonts w:ascii="Times New Roman" w:hAnsi="Times New Roman"/>
          <w:sz w:val="28"/>
        </w:rPr>
        <w:t xml:space="preserve"> 9</w:t>
      </w:r>
      <w:r>
        <w:rPr>
          <w:rFonts w:ascii="Times New Roman" w:hAnsi="Times New Roman"/>
          <w:sz w:val="28"/>
        </w:rPr>
        <w:t xml:space="preserve"> к настоящему решению</w:t>
      </w:r>
    </w:p>
    <w:p w14:paraId="37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2025-</w:t>
      </w:r>
      <w:r>
        <w:rPr>
          <w:rFonts w:ascii="Times New Roman" w:hAnsi="Times New Roman"/>
          <w:sz w:val="28"/>
        </w:rPr>
        <w:t>2026 годы согласно приложению № 9</w:t>
      </w:r>
      <w:r>
        <w:rPr>
          <w:rFonts w:ascii="Times New Roman" w:hAnsi="Times New Roman"/>
          <w:sz w:val="28"/>
        </w:rPr>
        <w:t>.1 к настоящему решению.</w:t>
      </w:r>
    </w:p>
    <w:p w14:paraId="38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Разрешить получение кредитов в местный бюджет от других бюджетов бюджетной системы Российской Федерации и от кредитных организаций, по которым возникают муниципальные долговые обязательства.</w:t>
      </w:r>
    </w:p>
    <w:p w14:paraId="39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Право осуществления муниципальных заимствований, предоставление муниципальных гарантий и управления муниципальным долгом</w:t>
      </w:r>
      <w:r>
        <w:rPr>
          <w:rFonts w:ascii="Times New Roman" w:hAnsi="Times New Roman"/>
          <w:sz w:val="28"/>
        </w:rPr>
        <w:t xml:space="preserve">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 xml:space="preserve">» </w:t>
      </w:r>
      <w:r>
        <w:rPr>
          <w:rFonts w:ascii="Times New Roman" w:hAnsi="Times New Roman"/>
          <w:sz w:val="28"/>
        </w:rPr>
        <w:t xml:space="preserve">предоставить администрации </w:t>
      </w:r>
      <w:r>
        <w:rPr>
          <w:rFonts w:ascii="Times New Roman" w:hAnsi="Times New Roman"/>
          <w:sz w:val="28"/>
        </w:rPr>
        <w:t>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».</w:t>
      </w:r>
    </w:p>
    <w:p w14:paraId="3A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</w:t>
      </w:r>
      <w:r>
        <w:rPr>
          <w:rFonts w:ascii="Times New Roman" w:hAnsi="Times New Roman"/>
          <w:sz w:val="28"/>
        </w:rPr>
        <w:t>. Установить</w:t>
      </w:r>
      <w:r>
        <w:rPr>
          <w:rFonts w:ascii="Times New Roman" w:hAnsi="Times New Roman"/>
          <w:sz w:val="28"/>
        </w:rPr>
        <w:t xml:space="preserve"> верхний </w:t>
      </w:r>
      <w:r>
        <w:rPr>
          <w:rFonts w:ascii="Times New Roman" w:hAnsi="Times New Roman"/>
          <w:sz w:val="28"/>
        </w:rPr>
        <w:t xml:space="preserve">предел муниципального внутреннего долга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</w:t>
      </w:r>
      <w:r>
        <w:rPr>
          <w:rFonts w:ascii="Times New Roman" w:hAnsi="Times New Roman"/>
          <w:sz w:val="28"/>
        </w:rPr>
        <w:t>:</w:t>
      </w:r>
    </w:p>
    <w:p w14:paraId="3B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01.01.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5 года в сумме 0,0 тыс. руб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, в том числе верхний предел долга по муниципальным гарантиям в сумме 0,0 тыс. руб.</w:t>
      </w:r>
    </w:p>
    <w:p w14:paraId="3C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01.01.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6 года в сумме 0,0 тыс. руб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, в том числе верхний предел долга по муниципальным гарантиям в сумме 0,0 тыс. руб.</w:t>
      </w:r>
    </w:p>
    <w:p w14:paraId="3D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01.01.</w:t>
      </w:r>
      <w:r>
        <w:rPr>
          <w:rFonts w:ascii="Times New Roman" w:hAnsi="Times New Roman"/>
          <w:sz w:val="28"/>
        </w:rPr>
        <w:t>202</w:t>
      </w:r>
      <w:r>
        <w:rPr>
          <w:rFonts w:ascii="Times New Roman" w:hAnsi="Times New Roman"/>
          <w:sz w:val="28"/>
        </w:rPr>
        <w:t>7 года в сумме 0,0 тыс. руб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, в том числе верхний предел долга по муниципальным гарантиям в сумме 0,0 тыс. руб.</w:t>
      </w:r>
    </w:p>
    <w:p w14:paraId="3E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Имущество, составляющего казну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отсутствует.</w:t>
      </w:r>
    </w:p>
    <w:p w14:paraId="3F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Установить размер резервного фонда </w:t>
      </w:r>
      <w:r>
        <w:rPr>
          <w:rFonts w:ascii="Times New Roman" w:hAnsi="Times New Roman"/>
          <w:sz w:val="28"/>
        </w:rPr>
        <w:t xml:space="preserve">администрации </w:t>
      </w:r>
      <w:r>
        <w:rPr>
          <w:rFonts w:ascii="Times New Roman" w:hAnsi="Times New Roman"/>
          <w:sz w:val="28"/>
        </w:rPr>
        <w:t xml:space="preserve">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на предупреждение и ликвидацию чрезвычайных ситуаций и последствий стихийных бедствий</w:t>
      </w:r>
      <w:r>
        <w:rPr>
          <w:rFonts w:ascii="Times New Roman" w:hAnsi="Times New Roman"/>
          <w:sz w:val="28"/>
        </w:rPr>
        <w:t>:</w:t>
      </w:r>
    </w:p>
    <w:p w14:paraId="40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 2024 год </w:t>
      </w:r>
      <w:r>
        <w:rPr>
          <w:rFonts w:ascii="Times New Roman" w:hAnsi="Times New Roman"/>
          <w:sz w:val="28"/>
        </w:rPr>
        <w:t xml:space="preserve">в сумме 1,00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;</w:t>
      </w:r>
    </w:p>
    <w:p w14:paraId="41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 202</w:t>
      </w:r>
      <w:r>
        <w:rPr>
          <w:rFonts w:ascii="Times New Roman" w:hAnsi="Times New Roman"/>
          <w:sz w:val="28"/>
        </w:rPr>
        <w:t xml:space="preserve">5 год в сумме 1,00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;</w:t>
      </w:r>
    </w:p>
    <w:p w14:paraId="42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 2026 год в сумме 1,00 </w:t>
      </w:r>
      <w:r>
        <w:rPr>
          <w:rFonts w:ascii="Times New Roman" w:hAnsi="Times New Roman"/>
          <w:sz w:val="28"/>
        </w:rPr>
        <w:t>тыс</w:t>
      </w:r>
      <w:r>
        <w:rPr>
          <w:rFonts w:ascii="Times New Roman" w:hAnsi="Times New Roman"/>
          <w:sz w:val="28"/>
        </w:rPr>
        <w:t>.р</w:t>
      </w:r>
      <w:r>
        <w:rPr>
          <w:rFonts w:ascii="Times New Roman" w:hAnsi="Times New Roman"/>
          <w:sz w:val="28"/>
        </w:rPr>
        <w:t>уб</w:t>
      </w:r>
      <w:r>
        <w:rPr>
          <w:rFonts w:ascii="Times New Roman" w:hAnsi="Times New Roman"/>
          <w:sz w:val="28"/>
        </w:rPr>
        <w:t>..</w:t>
      </w:r>
    </w:p>
    <w:p w14:paraId="43000000">
      <w:pPr>
        <w:ind w:firstLine="709" w:left="0"/>
        <w:jc w:val="both"/>
        <w:rPr>
          <w:rFonts w:ascii="Times New Roman" w:hAnsi="Times New Roman"/>
          <w:sz w:val="28"/>
        </w:rPr>
      </w:pPr>
    </w:p>
    <w:p w14:paraId="44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</w:t>
      </w:r>
      <w:r>
        <w:rPr>
          <w:rFonts w:ascii="Times New Roman" w:hAnsi="Times New Roman"/>
          <w:sz w:val="28"/>
        </w:rPr>
        <w:t>. Установить, что остатки средств бюджета муниципального образования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1 января 2024 года  направляются в 2024 году:</w:t>
      </w:r>
    </w:p>
    <w:p w14:paraId="45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1) на покрытие временных кассовых разрывов в объеме не более одной двенадцатой общего объема бюджета муниципального образования «Сельское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области» текущего финансового года;</w:t>
      </w:r>
    </w:p>
    <w:p w14:paraId="46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2) на увеличение бюджетных ассигнований на оплату заключенных от имени муниципального образования муниципальных контрактов (договоров) на поставку товаров, выполнение работ, оказание услуг, подлежавших в соответствии с условиями этих муниципальных контрактов (договоров) оплате в отчетном финансовом году; </w:t>
      </w:r>
    </w:p>
    <w:p w14:paraId="47000000">
      <w:pPr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Установить, что остатки средств бюджета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 на 1 января 2024 года сверх объемов, указанных в подпункте 2 настоящего пункта, подлежат направлению в 2024 году на увеличение бюджетных ассигнований для исполнения расходных обязательств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 в соответствии с решением Совета муниципального образования</w:t>
      </w:r>
      <w:r>
        <w:rPr>
          <w:rFonts w:ascii="Times New Roman" w:hAnsi="Times New Roman"/>
          <w:sz w:val="28"/>
        </w:rPr>
        <w:t xml:space="preserve">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 о бюджете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 на текущий год».</w:t>
      </w:r>
    </w:p>
    <w:p w14:paraId="48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. Установить, что исполнение бюджета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 осуществляется администрацией с открытием и ведением лицевых счетов главному распорядителю, получателю бюджетных средств в Управлении Федерального казначейства по Астраханской области в соответствии с действующим законодательством Российской Федерации.</w:t>
      </w:r>
    </w:p>
    <w:p w14:paraId="49000000">
      <w:pPr>
        <w:spacing w:before="240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. Настоящее решение обнародовать и разместить на официальном сайте администрации муниципального образования «</w:t>
      </w:r>
      <w:r>
        <w:rPr>
          <w:rFonts w:ascii="Times New Roman" w:hAnsi="Times New Roman"/>
          <w:sz w:val="28"/>
        </w:rPr>
        <w:t xml:space="preserve">Сельское поселение </w:t>
      </w:r>
      <w:r>
        <w:rPr>
          <w:rFonts w:ascii="Times New Roman" w:hAnsi="Times New Roman"/>
          <w:sz w:val="28"/>
        </w:rPr>
        <w:t>Капустиноярский</w:t>
      </w:r>
      <w:r>
        <w:rPr>
          <w:rFonts w:ascii="Times New Roman" w:hAnsi="Times New Roman"/>
          <w:sz w:val="28"/>
        </w:rPr>
        <w:t xml:space="preserve"> сельсовет Ахтубинского муниципального района Астраханской области</w:t>
      </w:r>
      <w:r>
        <w:rPr>
          <w:rFonts w:ascii="Times New Roman" w:hAnsi="Times New Roman"/>
          <w:sz w:val="28"/>
        </w:rPr>
        <w:t>».</w:t>
      </w:r>
    </w:p>
    <w:p w14:paraId="4A000000">
      <w:pPr>
        <w:spacing w:before="240" w:line="36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</w:t>
      </w:r>
      <w:bookmarkStart w:id="1" w:name="_GoBack"/>
      <w:bookmarkEnd w:id="1"/>
      <w:r>
        <w:rPr>
          <w:rFonts w:ascii="Times New Roman" w:hAnsi="Times New Roman"/>
          <w:sz w:val="28"/>
        </w:rPr>
        <w:t xml:space="preserve">. Настоящее решение вступает в силу с 1 января 2024 года.  </w:t>
      </w:r>
    </w:p>
    <w:p w14:paraId="4B000000">
      <w:pPr>
        <w:spacing w:line="36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4C000000">
      <w:pPr>
        <w:spacing w:line="36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4D000000">
      <w:pPr>
        <w:spacing w:line="36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4E000000">
      <w:pPr>
        <w:spacing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Совета                                                                             </w:t>
      </w:r>
      <w:r>
        <w:rPr>
          <w:rFonts w:ascii="Times New Roman" w:hAnsi="Times New Roman"/>
          <w:sz w:val="28"/>
        </w:rPr>
        <w:t>А.А.Пинчук</w:t>
      </w:r>
    </w:p>
    <w:p w14:paraId="4F000000">
      <w:pPr>
        <w:spacing w:line="360" w:lineRule="auto"/>
        <w:ind w:firstLine="709" w:left="0"/>
        <w:jc w:val="both"/>
        <w:rPr>
          <w:rFonts w:ascii="Times New Roman" w:hAnsi="Times New Roman"/>
          <w:sz w:val="28"/>
        </w:rPr>
      </w:pPr>
    </w:p>
    <w:p w14:paraId="50000000">
      <w:pPr>
        <w:spacing w:line="36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муниципального образования                       </w:t>
      </w:r>
      <w:r>
        <w:rPr>
          <w:rFonts w:ascii="Times New Roman" w:hAnsi="Times New Roman"/>
          <w:sz w:val="28"/>
        </w:rPr>
        <w:t xml:space="preserve">                            </w:t>
      </w:r>
      <w:r>
        <w:rPr>
          <w:rFonts w:ascii="Times New Roman" w:hAnsi="Times New Roman"/>
          <w:sz w:val="28"/>
        </w:rPr>
        <w:t>В.С.Игнатенко</w:t>
      </w:r>
    </w:p>
    <w:sectPr>
      <w:pgSz w:h="15840" w:orient="portrait" w:w="12240"/>
      <w:pgMar w:bottom="851" w:footer="720" w:gutter="0" w:header="720" w:left="1701" w:right="851" w:top="851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1"/>
      <w:lvlText w:val=""/>
      <w:lvlJc w:val="left"/>
      <w:pPr>
        <w:tabs>
          <w:tab w:leader="none" w:pos="0" w:val="left"/>
        </w:tabs>
        <w:ind w:hanging="432" w:left="432"/>
      </w:pPr>
    </w:lvl>
    <w:lvl w:ilvl="1">
      <w:start w:val="1"/>
      <w:numFmt w:val="decimal"/>
      <w:lvlText w:val=""/>
      <w:lvlJc w:val="left"/>
      <w:pPr>
        <w:tabs>
          <w:tab w:leader="none" w:pos="0" w:val="left"/>
        </w:tabs>
        <w:ind w:hanging="576" w:left="576"/>
      </w:pPr>
    </w:lvl>
    <w:lvl w:ilvl="2">
      <w:start w:val="1"/>
      <w:numFmt w:val="decimal"/>
      <w:lvlText w:val=""/>
      <w:lvlJc w:val="left"/>
      <w:pPr>
        <w:tabs>
          <w:tab w:leader="none" w:pos="0" w:val="left"/>
        </w:tabs>
        <w:ind w:hanging="720" w:left="720"/>
      </w:pPr>
    </w:lvl>
    <w:lvl w:ilvl="3">
      <w:start w:val="1"/>
      <w:numFmt w:val="decimal"/>
      <w:lvlText w:val=""/>
      <w:lvlJc w:val="left"/>
      <w:pPr>
        <w:tabs>
          <w:tab w:leader="none" w:pos="0" w:val="left"/>
        </w:tabs>
        <w:ind w:hanging="864" w:left="864"/>
      </w:pPr>
    </w:lvl>
    <w:lvl w:ilvl="4">
      <w:start w:val="1"/>
      <w:numFmt w:val="decimal"/>
      <w:lvlText w:val=""/>
      <w:lvlJc w:val="left"/>
      <w:pPr>
        <w:tabs>
          <w:tab w:leader="none" w:pos="0" w:val="left"/>
        </w:tabs>
        <w:ind w:hanging="1008" w:left="1008"/>
      </w:pPr>
    </w:lvl>
    <w:lvl w:ilvl="5">
      <w:start w:val="1"/>
      <w:numFmt w:val="decimal"/>
      <w:lvlText w:val=""/>
      <w:lvlJc w:val="left"/>
      <w:pPr>
        <w:tabs>
          <w:tab w:leader="none" w:pos="0" w:val="left"/>
        </w:tabs>
        <w:ind w:hanging="1152" w:left="1152"/>
      </w:pPr>
    </w:lvl>
    <w:lvl w:ilvl="6">
      <w:start w:val="1"/>
      <w:numFmt w:val="decimal"/>
      <w:lvlText w:val=""/>
      <w:lvlJc w:val="left"/>
      <w:pPr>
        <w:tabs>
          <w:tab w:leader="none" w:pos="0" w:val="left"/>
        </w:tabs>
        <w:ind w:hanging="1296" w:left="1296"/>
      </w:pPr>
    </w:lvl>
    <w:lvl w:ilvl="7">
      <w:start w:val="1"/>
      <w:numFmt w:val="decimal"/>
      <w:lvlText w:val=""/>
      <w:lvlJc w:val="left"/>
      <w:pPr>
        <w:tabs>
          <w:tab w:leader="none" w:pos="0" w:val="left"/>
        </w:tabs>
        <w:ind w:hanging="1440" w:left="1440"/>
      </w:pPr>
    </w:lvl>
    <w:lvl w:ilvl="8">
      <w:start w:val="1"/>
      <w:numFmt w:val="decimal"/>
      <w:lvlText w:val=""/>
      <w:lvlJc w:val="left"/>
      <w:pPr>
        <w:tabs>
          <w:tab w:leader="none" w:pos="0" w:val="left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  <w:rPr>
      <w:rFonts w:ascii="Arial" w:hAnsi="Arial"/>
      <w:sz w:val="22"/>
    </w:rPr>
  </w:style>
  <w:style w:default="1" w:styleId="Style_3_ch" w:type="character">
    <w:name w:val="Normal"/>
    <w:link w:val="Style_3"/>
    <w:rPr>
      <w:rFonts w:ascii="Arial" w:hAnsi="Arial"/>
      <w:sz w:val="22"/>
    </w:rPr>
  </w:style>
  <w:style w:styleId="Style_4" w:type="paragraph">
    <w:name w:val="toc 2"/>
    <w:next w:val="Style_3"/>
    <w:link w:val="Style_4_ch"/>
    <w:uiPriority w:val="39"/>
    <w:pPr>
      <w:ind w:firstLine="0" w:left="200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Body Text"/>
    <w:basedOn w:val="Style_3"/>
    <w:link w:val="Style_6_ch"/>
    <w:pPr>
      <w:spacing w:after="120"/>
      <w:ind/>
    </w:pPr>
  </w:style>
  <w:style w:styleId="Style_6_ch" w:type="character">
    <w:name w:val="Body Text"/>
    <w:basedOn w:val="Style_3_ch"/>
    <w:link w:val="Style_6"/>
  </w:style>
  <w:style w:styleId="Style_7" w:type="paragraph">
    <w:name w:val="toc 6"/>
    <w:next w:val="Style_3"/>
    <w:link w:val="Style_7_ch"/>
    <w:uiPriority w:val="39"/>
    <w:pPr>
      <w:ind w:firstLine="0" w:left="1000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3"/>
    <w:link w:val="Style_8_ch"/>
    <w:uiPriority w:val="39"/>
    <w:pPr>
      <w:ind w:firstLine="0" w:left="1200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heading 3"/>
    <w:next w:val="Style_3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Символ нумерации"/>
    <w:link w:val="Style_11_ch"/>
  </w:style>
  <w:style w:styleId="Style_11_ch" w:type="character">
    <w:name w:val="Символ нумерации"/>
    <w:link w:val="Style_11"/>
  </w:style>
  <w:style w:styleId="Style_12" w:type="paragraph">
    <w:name w:val="Заголовок"/>
    <w:basedOn w:val="Style_3"/>
    <w:next w:val="Style_6"/>
    <w:link w:val="Style_12_ch"/>
    <w:pPr>
      <w:keepNext w:val="1"/>
      <w:spacing w:after="120" w:before="240"/>
      <w:ind/>
    </w:pPr>
    <w:rPr>
      <w:sz w:val="28"/>
    </w:rPr>
  </w:style>
  <w:style w:styleId="Style_12_ch" w:type="character">
    <w:name w:val="Заголовок"/>
    <w:basedOn w:val="Style_3_ch"/>
    <w:link w:val="Style_12"/>
    <w:rPr>
      <w:sz w:val="28"/>
    </w:rPr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toc 3"/>
    <w:next w:val="Style_3"/>
    <w:link w:val="Style_14_ch"/>
    <w:uiPriority w:val="39"/>
    <w:pPr>
      <w:ind w:firstLine="0"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Текст выноски Знак"/>
    <w:link w:val="Style_15_ch"/>
    <w:rPr>
      <w:rFonts w:ascii="Tahoma" w:hAnsi="Tahoma"/>
      <w:sz w:val="16"/>
    </w:rPr>
  </w:style>
  <w:style w:styleId="Style_15_ch" w:type="character">
    <w:name w:val="Текст выноски Знак"/>
    <w:link w:val="Style_15"/>
    <w:rPr>
      <w:rFonts w:ascii="Tahoma" w:hAnsi="Tahoma"/>
      <w:sz w:val="16"/>
    </w:rPr>
  </w:style>
  <w:style w:styleId="Style_16" w:type="paragraph">
    <w:name w:val="Balloon Text"/>
    <w:basedOn w:val="Style_3"/>
    <w:link w:val="Style_16_ch"/>
    <w:rPr>
      <w:rFonts w:ascii="Tahoma" w:hAnsi="Tahoma"/>
      <w:sz w:val="16"/>
    </w:rPr>
  </w:style>
  <w:style w:styleId="Style_16_ch" w:type="character">
    <w:name w:val="Balloon Text"/>
    <w:basedOn w:val="Style_3_ch"/>
    <w:link w:val="Style_16"/>
    <w:rPr>
      <w:rFonts w:ascii="Tahoma" w:hAnsi="Tahoma"/>
      <w:sz w:val="16"/>
    </w:rPr>
  </w:style>
  <w:style w:styleId="Style_17" w:type="paragraph">
    <w:name w:val="Указатель1"/>
    <w:basedOn w:val="Style_3"/>
    <w:link w:val="Style_17_ch"/>
  </w:style>
  <w:style w:styleId="Style_17_ch" w:type="character">
    <w:name w:val="Указатель1"/>
    <w:basedOn w:val="Style_3_ch"/>
    <w:link w:val="Style_17"/>
  </w:style>
  <w:style w:styleId="Style_18" w:type="paragraph">
    <w:name w:val="heading 5"/>
    <w:next w:val="Style_3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1" w:type="paragraph">
    <w:name w:val="heading 1"/>
    <w:basedOn w:val="Style_3"/>
    <w:next w:val="Style_3"/>
    <w:link w:val="Style_1_ch"/>
    <w:uiPriority w:val="9"/>
    <w:qFormat/>
    <w:pPr>
      <w:keepNext w:val="1"/>
      <w:numPr>
        <w:numId w:val="1"/>
      </w:numPr>
      <w:ind w:firstLine="567" w:left="0"/>
      <w:jc w:val="both"/>
      <w:outlineLvl w:val="0"/>
    </w:pPr>
    <w:rPr>
      <w:rFonts w:ascii="Times New Roman" w:hAnsi="Times New Roman"/>
      <w:sz w:val="28"/>
    </w:rPr>
  </w:style>
  <w:style w:styleId="Style_1_ch" w:type="character">
    <w:name w:val="heading 1"/>
    <w:basedOn w:val="Style_3_ch"/>
    <w:link w:val="Style_1"/>
    <w:rPr>
      <w:rFonts w:ascii="Times New Roman" w:hAnsi="Times New Roman"/>
      <w:sz w:val="28"/>
    </w:rPr>
  </w:style>
  <w:style w:styleId="Style_20" w:type="paragraph">
    <w:name w:val="caption"/>
    <w:basedOn w:val="Style_3"/>
    <w:link w:val="Style_20_ch"/>
    <w:pPr>
      <w:spacing w:after="120" w:before="120"/>
      <w:ind/>
    </w:pPr>
    <w:rPr>
      <w:i w:val="1"/>
      <w:sz w:val="24"/>
    </w:rPr>
  </w:style>
  <w:style w:styleId="Style_20_ch" w:type="character">
    <w:name w:val="caption"/>
    <w:basedOn w:val="Style_3_ch"/>
    <w:link w:val="Style_20"/>
    <w:rPr>
      <w:i w:val="1"/>
      <w:sz w:val="24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ind w:firstLine="851" w:left="0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toc 1"/>
    <w:next w:val="Style_3"/>
    <w:link w:val="Style_23_ch"/>
    <w:uiPriority w:val="39"/>
    <w:rPr>
      <w:rFonts w:ascii="XO Thames" w:hAnsi="XO Thames"/>
      <w:b w:val="1"/>
      <w:sz w:val="28"/>
    </w:rPr>
  </w:style>
  <w:style w:styleId="Style_23_ch" w:type="character">
    <w:name w:val="toc 1"/>
    <w:link w:val="Style_23"/>
    <w:rPr>
      <w:rFonts w:ascii="XO Thames" w:hAnsi="XO Thames"/>
      <w:b w:val="1"/>
      <w:sz w:val="28"/>
    </w:rPr>
  </w:style>
  <w:style w:styleId="Style_24" w:type="paragraph">
    <w:name w:val="Header and Footer"/>
    <w:link w:val="Style_24_ch"/>
    <w:pPr>
      <w:ind/>
      <w:jc w:val="both"/>
    </w:pPr>
    <w:rPr>
      <w:rFonts w:ascii="XO Thames" w:hAnsi="XO Thames"/>
    </w:rPr>
  </w:style>
  <w:style w:styleId="Style_24_ch" w:type="character">
    <w:name w:val="Header and Footer"/>
    <w:link w:val="Style_24"/>
    <w:rPr>
      <w:rFonts w:ascii="XO Thames" w:hAnsi="XO Thames"/>
    </w:rPr>
  </w:style>
  <w:style w:styleId="Style_25" w:type="paragraph">
    <w:name w:val="WW-Absatz-Standardschriftart"/>
    <w:link w:val="Style_25_ch"/>
  </w:style>
  <w:style w:styleId="Style_25_ch" w:type="character">
    <w:name w:val="WW-Absatz-Standardschriftart"/>
    <w:link w:val="Style_25"/>
  </w:style>
  <w:style w:styleId="Style_26" w:type="paragraph">
    <w:name w:val="toc 9"/>
    <w:next w:val="Style_3"/>
    <w:link w:val="Style_26_ch"/>
    <w:uiPriority w:val="39"/>
    <w:pPr>
      <w:ind w:firstLine="0"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3"/>
    <w:link w:val="Style_27_ch"/>
    <w:uiPriority w:val="39"/>
    <w:pPr>
      <w:ind w:firstLine="0"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Absatz-Standardschriftart"/>
    <w:link w:val="Style_28_ch"/>
  </w:style>
  <w:style w:styleId="Style_28_ch" w:type="character">
    <w:name w:val="Absatz-Standardschriftart"/>
    <w:link w:val="Style_28"/>
  </w:style>
  <w:style w:styleId="Style_29" w:type="paragraph">
    <w:name w:val="Обычный1"/>
    <w:link w:val="Style_29_ch"/>
    <w:rPr>
      <w:rFonts w:ascii="Arial" w:hAnsi="Arial"/>
      <w:sz w:val="22"/>
    </w:rPr>
  </w:style>
  <w:style w:styleId="Style_29_ch" w:type="character">
    <w:name w:val="Обычный1"/>
    <w:link w:val="Style_29"/>
    <w:rPr>
      <w:rFonts w:ascii="Arial" w:hAnsi="Arial"/>
      <w:sz w:val="22"/>
    </w:rPr>
  </w:style>
  <w:style w:styleId="Style_30" w:type="paragraph">
    <w:name w:val="toc 5"/>
    <w:next w:val="Style_3"/>
    <w:link w:val="Style_30_ch"/>
    <w:uiPriority w:val="39"/>
    <w:pPr>
      <w:ind w:firstLine="0" w:left="800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2" w:type="paragraph">
    <w:name w:val="Body Text Indent"/>
    <w:basedOn w:val="Style_3"/>
    <w:link w:val="Style_2_ch"/>
    <w:pPr>
      <w:ind w:firstLine="567" w:left="0"/>
    </w:pPr>
    <w:rPr>
      <w:sz w:val="28"/>
    </w:rPr>
  </w:style>
  <w:style w:styleId="Style_2_ch" w:type="character">
    <w:name w:val="Body Text Indent"/>
    <w:basedOn w:val="Style_3_ch"/>
    <w:link w:val="Style_2"/>
    <w:rPr>
      <w:sz w:val="28"/>
    </w:rPr>
  </w:style>
  <w:style w:styleId="Style_31" w:type="paragraph">
    <w:name w:val="List"/>
    <w:basedOn w:val="Style_6"/>
    <w:link w:val="Style_31_ch"/>
  </w:style>
  <w:style w:styleId="Style_31_ch" w:type="character">
    <w:name w:val="List"/>
    <w:basedOn w:val="Style_6_ch"/>
    <w:link w:val="Style_31"/>
  </w:style>
  <w:style w:styleId="Style_32" w:type="paragraph">
    <w:name w:val="Subtitle"/>
    <w:next w:val="Style_3"/>
    <w:link w:val="Style_3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2_ch" w:type="character">
    <w:name w:val="Subtitle"/>
    <w:link w:val="Style_32"/>
    <w:rPr>
      <w:rFonts w:ascii="XO Thames" w:hAnsi="XO Thames"/>
      <w:i w:val="1"/>
      <w:sz w:val="24"/>
    </w:rPr>
  </w:style>
  <w:style w:styleId="Style_33" w:type="paragraph">
    <w:name w:val="Title"/>
    <w:next w:val="Style_3"/>
    <w:link w:val="Style_3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3_ch" w:type="character">
    <w:name w:val="Title"/>
    <w:link w:val="Style_33"/>
    <w:rPr>
      <w:rFonts w:ascii="XO Thames" w:hAnsi="XO Thames"/>
      <w:b w:val="1"/>
      <w:caps w:val="1"/>
      <w:sz w:val="40"/>
    </w:rPr>
  </w:style>
  <w:style w:styleId="Style_34" w:type="paragraph">
    <w:name w:val="heading 4"/>
    <w:next w:val="Style_3"/>
    <w:link w:val="Style_3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4_ch" w:type="character">
    <w:name w:val="heading 4"/>
    <w:link w:val="Style_34"/>
    <w:rPr>
      <w:rFonts w:ascii="XO Thames" w:hAnsi="XO Thames"/>
      <w:b w:val="1"/>
      <w:sz w:val="24"/>
    </w:rPr>
  </w:style>
  <w:style w:styleId="Style_35" w:type="paragraph">
    <w:name w:val="heading 2"/>
    <w:next w:val="Style_3"/>
    <w:link w:val="Style_3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5_ch" w:type="character">
    <w:name w:val="heading 2"/>
    <w:link w:val="Style_35"/>
    <w:rPr>
      <w:rFonts w:ascii="XO Thames" w:hAnsi="XO Thames"/>
      <w:b w:val="1"/>
      <w:sz w:val="28"/>
    </w:rPr>
  </w:style>
  <w:style w:styleId="Style_36" w:type="paragraph">
    <w:name w:val="Основной шрифт абзаца2"/>
    <w:link w:val="Style_36_ch"/>
  </w:style>
  <w:style w:styleId="Style_36_ch" w:type="character">
    <w:name w:val="Основной шрифт абзаца2"/>
    <w:link w:val="Style_36"/>
  </w:style>
  <w:style w:default="1" w:styleId="Style_3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2023-12-12T04:06:24Z</dcterms:modified>
</cp:coreProperties>
</file>